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9DA3E" w14:textId="444665B4" w:rsidR="00485E09" w:rsidRDefault="00485E09" w:rsidP="00485E09">
      <w:pPr>
        <w:spacing w:after="0"/>
        <w:rPr>
          <w:i/>
          <w:color w:val="FF0000"/>
        </w:rPr>
      </w:pPr>
      <w:r>
        <w:rPr>
          <w:rFonts w:ascii="Tahoma" w:hAnsi="Tahoma" w:cs="Tahoma"/>
          <w:noProof/>
          <w:lang w:eastAsia="hr-HR"/>
        </w:rPr>
        <w:t xml:space="preserve">         </w:t>
      </w:r>
      <w:r>
        <w:rPr>
          <w:rFonts w:ascii="Tahoma" w:hAnsi="Tahoma" w:cs="Tahoma"/>
          <w:noProof/>
          <w:lang w:eastAsia="hr-HR"/>
        </w:rPr>
        <w:drawing>
          <wp:inline distT="0" distB="0" distL="0" distR="0" wp14:anchorId="3E62B516" wp14:editId="6B33FB8E">
            <wp:extent cx="320040" cy="396240"/>
            <wp:effectExtent l="0" t="0" r="3810" b="381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5" t="-130" r="-165" b="-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</w:p>
    <w:p w14:paraId="39C660C7" w14:textId="77777777" w:rsidR="00485E09" w:rsidRDefault="00485E09" w:rsidP="00485E09">
      <w:pPr>
        <w:spacing w:after="0"/>
      </w:pPr>
      <w:r>
        <w:t>REPUBLIKA HRVATSKA</w:t>
      </w:r>
    </w:p>
    <w:p w14:paraId="0A7B8DA2" w14:textId="77777777" w:rsidR="00485E09" w:rsidRDefault="00485E09" w:rsidP="00485E09">
      <w:pPr>
        <w:spacing w:after="0"/>
      </w:pPr>
      <w:r>
        <w:t>SISAČKO MOSLAVAČKA ŽUPANIJA</w:t>
      </w:r>
    </w:p>
    <w:p w14:paraId="40F54370" w14:textId="77777777" w:rsidR="00485E09" w:rsidRDefault="00485E09" w:rsidP="00485E09">
      <w:pPr>
        <w:spacing w:after="0"/>
      </w:pPr>
      <w:r>
        <w:t>Upravni odjel za prostorno uređenje,</w:t>
      </w:r>
    </w:p>
    <w:p w14:paraId="1C28F363" w14:textId="3EDCE3BB" w:rsidR="00485E09" w:rsidRDefault="00485E09" w:rsidP="00485E09">
      <w:pPr>
        <w:spacing w:after="0"/>
      </w:pPr>
      <w:r>
        <w:t>graditeljstvo i obnovu</w:t>
      </w:r>
    </w:p>
    <w:p w14:paraId="6A0DCC51" w14:textId="77777777" w:rsidR="00485E09" w:rsidRDefault="00485E09" w:rsidP="00485E09">
      <w:pPr>
        <w:spacing w:after="0"/>
        <w:rPr>
          <w:sz w:val="8"/>
          <w:szCs w:val="8"/>
        </w:rPr>
      </w:pPr>
    </w:p>
    <w:p w14:paraId="2E6437D6" w14:textId="5DA24889" w:rsidR="00485E09" w:rsidRDefault="00485E09" w:rsidP="00485E09">
      <w:pPr>
        <w:spacing w:after="0"/>
      </w:pPr>
      <w:r>
        <w:t>KLASA:</w:t>
      </w:r>
      <w:r w:rsidR="000A1C13">
        <w:t>400-08/21-01/17</w:t>
      </w:r>
    </w:p>
    <w:p w14:paraId="55BEE29C" w14:textId="35C59932" w:rsidR="00485E09" w:rsidRDefault="00485E09" w:rsidP="00485E09">
      <w:pPr>
        <w:spacing w:after="0"/>
      </w:pPr>
      <w:r>
        <w:t>URBROJ:2176-08/01-22-</w:t>
      </w:r>
      <w:r w:rsidR="000A1C13">
        <w:t>2</w:t>
      </w:r>
    </w:p>
    <w:p w14:paraId="17085AA8" w14:textId="568A713E" w:rsidR="00485E09" w:rsidRDefault="00485E09" w:rsidP="00485E09">
      <w:pPr>
        <w:spacing w:after="0"/>
      </w:pPr>
      <w:r>
        <w:t xml:space="preserve">Sisak, </w:t>
      </w:r>
      <w:r w:rsidR="00362A48">
        <w:t>7</w:t>
      </w:r>
      <w:r>
        <w:t>. srpanj 2022. godine</w:t>
      </w:r>
    </w:p>
    <w:p w14:paraId="368AACA8" w14:textId="77777777" w:rsidR="00485E09" w:rsidRDefault="00485E09" w:rsidP="00485E0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Upravni odjel za proračun, financije,</w:t>
      </w:r>
    </w:p>
    <w:p w14:paraId="010E89C5" w14:textId="4077DBB5" w:rsidR="00485E09" w:rsidRDefault="00485E09" w:rsidP="00485E0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D2680">
        <w:t xml:space="preserve">                  </w:t>
      </w:r>
      <w:r>
        <w:t xml:space="preserve">javnu nabavu </w:t>
      </w:r>
    </w:p>
    <w:p w14:paraId="25C7EACA" w14:textId="77777777" w:rsidR="00485E09" w:rsidRDefault="00485E09" w:rsidP="00485E09">
      <w:pPr>
        <w:spacing w:after="0"/>
      </w:pPr>
    </w:p>
    <w:p w14:paraId="0186FEE9" w14:textId="77777777" w:rsidR="00485E09" w:rsidRDefault="00485E09" w:rsidP="00485E09">
      <w:pPr>
        <w:spacing w:after="0"/>
        <w:rPr>
          <w:b/>
        </w:rPr>
      </w:pPr>
      <w:r>
        <w:rPr>
          <w:b/>
        </w:rPr>
        <w:t xml:space="preserve">PREDMET:  Obrazloženje uz izmjene i dopune proračuna Upravnog odjela za prostorno uređenje,  </w:t>
      </w:r>
    </w:p>
    <w:p w14:paraId="32EDE01D" w14:textId="345641F4" w:rsidR="00485E09" w:rsidRDefault="00485E09" w:rsidP="00485E09">
      <w:pPr>
        <w:spacing w:after="0"/>
        <w:rPr>
          <w:b/>
        </w:rPr>
      </w:pPr>
      <w:r>
        <w:rPr>
          <w:b/>
        </w:rPr>
        <w:t xml:space="preserve">                      graditeljstvo i obnovu za 2022. godinu, daje se</w:t>
      </w:r>
    </w:p>
    <w:p w14:paraId="6ABB81DA" w14:textId="77777777" w:rsidR="00485E09" w:rsidRDefault="00485E09" w:rsidP="00485E09">
      <w:pPr>
        <w:spacing w:after="0"/>
      </w:pPr>
    </w:p>
    <w:p w14:paraId="234F80FC" w14:textId="3F438E85" w:rsidR="00485E09" w:rsidRDefault="002710E1" w:rsidP="005F7E9F">
      <w:pPr>
        <w:spacing w:after="0"/>
        <w:jc w:val="both"/>
      </w:pPr>
      <w:r>
        <w:t>Sukladno Vašem traženju, n</w:t>
      </w:r>
      <w:r w:rsidR="00485E09">
        <w:t>astavno u tekstu daje se obrazloženja za izmjene i dopune proračuna za 2022. godinu</w:t>
      </w:r>
      <w:r w:rsidR="00DB58E5">
        <w:t xml:space="preserve"> RAZDJELA 016-</w:t>
      </w:r>
      <w:r w:rsidR="00485E09">
        <w:t xml:space="preserve"> Upravnog odjela za prostorno uređenje, graditeljstvo i obnovu</w:t>
      </w:r>
      <w:r w:rsidR="00DB58E5">
        <w:t xml:space="preserve"> (01601)</w:t>
      </w:r>
      <w:r w:rsidR="00485E09">
        <w:t>, te za proračunskog korisnika- JU Zavod za prostorno uređenje SMŽ</w:t>
      </w:r>
      <w:r w:rsidR="00DB58E5">
        <w:t xml:space="preserve"> (</w:t>
      </w:r>
      <w:r w:rsidR="00362A48">
        <w:t>01602</w:t>
      </w:r>
      <w:r w:rsidR="00DB58E5">
        <w:t>)</w:t>
      </w:r>
      <w:r w:rsidR="005F7E9F">
        <w:t>:</w:t>
      </w:r>
    </w:p>
    <w:p w14:paraId="1DBF552B" w14:textId="77777777" w:rsidR="002710E1" w:rsidRPr="002710E1" w:rsidRDefault="002710E1" w:rsidP="005F7E9F">
      <w:pPr>
        <w:spacing w:after="0"/>
        <w:jc w:val="both"/>
        <w:rPr>
          <w:sz w:val="8"/>
          <w:szCs w:val="8"/>
        </w:rPr>
      </w:pPr>
    </w:p>
    <w:p w14:paraId="38ADBB33" w14:textId="1A3B3AED" w:rsidR="00DB58E5" w:rsidRPr="00DB58E5" w:rsidRDefault="00DB58E5" w:rsidP="00E325E8">
      <w:pPr>
        <w:spacing w:after="0"/>
        <w:jc w:val="center"/>
        <w:rPr>
          <w:b/>
          <w:bCs/>
          <w:sz w:val="20"/>
          <w:szCs w:val="20"/>
        </w:rPr>
      </w:pPr>
      <w:r w:rsidRPr="00DB58E5">
        <w:rPr>
          <w:b/>
          <w:bCs/>
          <w:sz w:val="20"/>
          <w:szCs w:val="20"/>
        </w:rPr>
        <w:t>GLAVA 01601 – Upravni odjel za prostorno uređenje, graditeljstvo i obnovu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485E09" w14:paraId="5C13094E" w14:textId="77777777" w:rsidTr="00362A48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D467" w14:textId="5A7B8251" w:rsidR="00485E09" w:rsidRDefault="00485E0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Program</w:t>
            </w:r>
            <w:r w:rsidR="00362A48">
              <w:rPr>
                <w:b/>
                <w:sz w:val="18"/>
                <w:szCs w:val="18"/>
              </w:rPr>
              <w:t xml:space="preserve"> 1001</w:t>
            </w:r>
          </w:p>
          <w:p w14:paraId="736F9571" w14:textId="39324EE2" w:rsidR="00362A48" w:rsidRDefault="00362A48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Dokumenti prostornog uređenja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51427" w14:textId="77777777" w:rsidR="00485E09" w:rsidRDefault="00485E0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D8A3" w14:textId="77777777" w:rsidR="00485E09" w:rsidRDefault="00485E0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AF19" w14:textId="77777777" w:rsidR="00485E09" w:rsidRDefault="00485E0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Razlika </w:t>
            </w:r>
          </w:p>
        </w:tc>
      </w:tr>
      <w:tr w:rsidR="00485E09" w14:paraId="65EFE750" w14:textId="77777777" w:rsidTr="00362A48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C3FB" w14:textId="77777777" w:rsidR="00362A48" w:rsidRDefault="00880E11" w:rsidP="00362A4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</w:t>
            </w:r>
            <w:r w:rsidR="00362A48">
              <w:rPr>
                <w:sz w:val="18"/>
                <w:szCs w:val="18"/>
              </w:rPr>
              <w:t xml:space="preserve"> A 1000001 </w:t>
            </w:r>
          </w:p>
          <w:p w14:paraId="0B9484D9" w14:textId="77777777" w:rsidR="00880E11" w:rsidRDefault="00362A48" w:rsidP="00362A4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Prostorno uređenje i graditeljstvo</w:t>
            </w:r>
          </w:p>
          <w:p w14:paraId="3E27D455" w14:textId="5B9FB769" w:rsidR="005F7E9F" w:rsidRDefault="005F7E9F" w:rsidP="005F7E9F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A8CF" w14:textId="6A66854A" w:rsidR="00485E09" w:rsidRDefault="00362A48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BE34" w14:textId="1FA4284D" w:rsidR="00485E09" w:rsidRDefault="00362A48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A2CA" w14:textId="71EA9A65" w:rsidR="00485E09" w:rsidRDefault="005B52B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62A4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0.000,00</w:t>
            </w:r>
          </w:p>
        </w:tc>
      </w:tr>
      <w:tr w:rsidR="005F7E9F" w14:paraId="66205E15" w14:textId="77777777" w:rsidTr="00362A48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8701" w14:textId="6FD72C1B" w:rsidR="005F7E9F" w:rsidRDefault="005F7E9F" w:rsidP="00362A4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Ostali rashodi (prostorno iz izvora 4.3.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76C" w14:textId="117737DD" w:rsidR="005F7E9F" w:rsidRDefault="005F7E9F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BDB5" w14:textId="14DB2921" w:rsidR="005F7E9F" w:rsidRDefault="005F7E9F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8990" w14:textId="6A084A69" w:rsidR="005F7E9F" w:rsidRDefault="005F7E9F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+20.000,00</w:t>
            </w:r>
          </w:p>
        </w:tc>
      </w:tr>
      <w:tr w:rsidR="00485E09" w14:paraId="158985C0" w14:textId="77777777" w:rsidTr="00362A48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1EE2E" w14:textId="77777777" w:rsidR="00880E11" w:rsidRPr="00880E11" w:rsidRDefault="00880E11">
            <w:pPr>
              <w:spacing w:after="0"/>
              <w:jc w:val="center"/>
              <w:rPr>
                <w:sz w:val="8"/>
                <w:szCs w:val="8"/>
              </w:rPr>
            </w:pPr>
          </w:p>
          <w:p w14:paraId="200C3369" w14:textId="77777777" w:rsidR="00485E09" w:rsidRDefault="00362A4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 A 100002</w:t>
            </w:r>
          </w:p>
          <w:p w14:paraId="18FE49E6" w14:textId="1B69ADE7" w:rsidR="00362A48" w:rsidRDefault="00362A4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približnih vrijednosti nekretnina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C575" w14:textId="43A319DB" w:rsidR="00485E09" w:rsidRDefault="005B52B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0F97" w14:textId="758E704E" w:rsidR="00485E09" w:rsidRDefault="005B52B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7E2" w14:textId="2E207D86" w:rsidR="00485E09" w:rsidRDefault="005B52B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-90.000,00</w:t>
            </w:r>
          </w:p>
        </w:tc>
      </w:tr>
      <w:tr w:rsidR="00880E11" w14:paraId="396CDEC5" w14:textId="77777777" w:rsidTr="00362A48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5EC5" w14:textId="77777777" w:rsidR="00880E11" w:rsidRPr="00880E11" w:rsidRDefault="00880E11">
            <w:pPr>
              <w:spacing w:after="0"/>
              <w:jc w:val="center"/>
              <w:rPr>
                <w:sz w:val="8"/>
                <w:szCs w:val="8"/>
              </w:rPr>
            </w:pPr>
          </w:p>
          <w:p w14:paraId="28BDEF7D" w14:textId="38280754" w:rsidR="00880E11" w:rsidRDefault="00362A4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Ukupno UO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6601" w14:textId="2E337126" w:rsidR="00880E11" w:rsidRDefault="00362A48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4CE" w14:textId="4B9F84A3" w:rsidR="00880E11" w:rsidRDefault="00362A48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F7E9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3E67" w14:textId="7772A7A6" w:rsidR="00880E11" w:rsidRDefault="005F7E9F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-120.000,00</w:t>
            </w:r>
          </w:p>
        </w:tc>
      </w:tr>
    </w:tbl>
    <w:p w14:paraId="57DCD8C3" w14:textId="77777777" w:rsidR="00485E09" w:rsidRDefault="00485E09" w:rsidP="00485E09">
      <w:pPr>
        <w:spacing w:after="0"/>
        <w:jc w:val="both"/>
        <w:rPr>
          <w:sz w:val="8"/>
          <w:szCs w:val="8"/>
        </w:rPr>
      </w:pPr>
    </w:p>
    <w:p w14:paraId="48B1CC13" w14:textId="77777777" w:rsidR="00A67207" w:rsidRPr="00A67207" w:rsidRDefault="005F7E9F" w:rsidP="00485E09">
      <w:pPr>
        <w:tabs>
          <w:tab w:val="left" w:pos="3053"/>
        </w:tabs>
        <w:spacing w:after="0"/>
        <w:rPr>
          <w:rFonts w:cs="Calibri"/>
          <w:bCs/>
        </w:rPr>
      </w:pPr>
      <w:r w:rsidRPr="00A67207">
        <w:rPr>
          <w:rFonts w:cs="Calibri"/>
          <w:bCs/>
        </w:rPr>
        <w:t xml:space="preserve">Program prostorno uređenje i graditeljstvo obuhvaća nekoliko aktivnosti i to: </w:t>
      </w:r>
    </w:p>
    <w:p w14:paraId="4E748BA7" w14:textId="1ACB409D" w:rsidR="00485E09" w:rsidRPr="00A67207" w:rsidRDefault="00A67207" w:rsidP="00A67207">
      <w:pPr>
        <w:pStyle w:val="Odlomakpopisa"/>
        <w:numPr>
          <w:ilvl w:val="0"/>
          <w:numId w:val="1"/>
        </w:numPr>
        <w:tabs>
          <w:tab w:val="left" w:pos="3053"/>
        </w:tabs>
        <w:spacing w:after="0"/>
        <w:rPr>
          <w:rFonts w:cs="Calibri"/>
          <w:bCs/>
        </w:rPr>
      </w:pPr>
      <w:r w:rsidRPr="00A67207">
        <w:rPr>
          <w:rFonts w:cs="Calibri"/>
          <w:bCs/>
        </w:rPr>
        <w:t>I</w:t>
      </w:r>
      <w:r w:rsidR="005F7E9F" w:rsidRPr="00A67207">
        <w:rPr>
          <w:rFonts w:cs="Calibri"/>
          <w:bCs/>
        </w:rPr>
        <w:t>zradu akata/dokumenata prostornog uređenja (u tijeku je izrada IV. i V. izmjena i dopuna Prostornog plana Sisačko-moslavačke županije za što su bila planirana sredstva u iznosu od 100.000 kuna, no ista se smanjuju za 50.000 kuna budući da je novi iznos dovoljan za izradu dokumenata jer dio sredstava plaća podnositelj zahtjeva za V. izmjene i dopune Prostornog plana (sredstva s izvora 4.3.)</w:t>
      </w:r>
      <w:r w:rsidRPr="00A67207">
        <w:rPr>
          <w:rFonts w:cs="Calibri"/>
          <w:bCs/>
        </w:rPr>
        <w:t xml:space="preserve"> Iz tog razloga je otvorena i nova pozicija sa stavkom od 20.000 kuna namijenjenih za troškove donošenja Plana i Strateške procjene utjecaja na okoliš Plana.</w:t>
      </w:r>
    </w:p>
    <w:p w14:paraId="191C5650" w14:textId="562F2881" w:rsidR="00A67207" w:rsidRDefault="00A67207" w:rsidP="00A67207">
      <w:pPr>
        <w:pStyle w:val="Odlomakpopisa"/>
        <w:numPr>
          <w:ilvl w:val="0"/>
          <w:numId w:val="1"/>
        </w:numPr>
        <w:tabs>
          <w:tab w:val="left" w:pos="3053"/>
        </w:tabs>
        <w:spacing w:after="0"/>
        <w:rPr>
          <w:rFonts w:cs="Calibri"/>
          <w:bCs/>
        </w:rPr>
      </w:pPr>
      <w:r w:rsidRPr="00A67207">
        <w:rPr>
          <w:rFonts w:cs="Calibri"/>
          <w:bCs/>
        </w:rPr>
        <w:t>Izrada Plana približnih vrijednosti nekretnina je aktivnost koja je utemeljena na Zakonu o procjeni vrijednosti nekretnina, te je za izradu istog planiran iznos od 100.000 kuna a isti je smanjen na 10.000 kuna jer se smatra da će novo-planirani iznos biti dostatan za izradu dokumenta.</w:t>
      </w:r>
    </w:p>
    <w:p w14:paraId="6A31C90F" w14:textId="77777777" w:rsidR="002710E1" w:rsidRPr="002710E1" w:rsidRDefault="002710E1" w:rsidP="002710E1">
      <w:pPr>
        <w:tabs>
          <w:tab w:val="left" w:pos="3053"/>
        </w:tabs>
        <w:spacing w:after="0"/>
        <w:rPr>
          <w:rFonts w:cs="Calibri"/>
          <w:bCs/>
          <w:sz w:val="8"/>
          <w:szCs w:val="8"/>
        </w:rPr>
      </w:pPr>
    </w:p>
    <w:p w14:paraId="681E6533" w14:textId="61B4B46D" w:rsidR="00485E09" w:rsidRPr="002710E1" w:rsidRDefault="00E325E8" w:rsidP="002710E1">
      <w:pPr>
        <w:tabs>
          <w:tab w:val="left" w:pos="3053"/>
        </w:tabs>
        <w:spacing w:after="0"/>
        <w:jc w:val="center"/>
        <w:rPr>
          <w:rFonts w:cs="Calibri"/>
          <w:bCs/>
        </w:rPr>
      </w:pPr>
      <w:r w:rsidRPr="002710E1">
        <w:rPr>
          <w:rFonts w:cs="Calibri"/>
          <w:bCs/>
        </w:rPr>
        <w:t xml:space="preserve">DETALJNO </w:t>
      </w:r>
      <w:r w:rsidR="00485E09" w:rsidRPr="002710E1">
        <w:rPr>
          <w:rFonts w:cs="Calibri"/>
          <w:bCs/>
        </w:rPr>
        <w:t>OBRAZLOŽENJE IZMJENA I DOPUNA PRORAČUNA UO ZA 2022. GODINU PO STAVKAMA: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641"/>
      </w:tblGrid>
      <w:tr w:rsidR="00485E09" w:rsidRPr="00E325E8" w14:paraId="0B15F3A3" w14:textId="77777777" w:rsidTr="00485E09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1D4611" w14:textId="77777777" w:rsidR="00485E09" w:rsidRPr="00E325E8" w:rsidRDefault="00485E09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RAZDJEL 016 – GLAVA 01601: Upravni odjel za prostorno uređenje, graditeljstvo i zaštitu okoliša</w:t>
            </w:r>
          </w:p>
        </w:tc>
      </w:tr>
      <w:tr w:rsidR="00485E09" w:rsidRPr="00E325E8" w14:paraId="689C1F22" w14:textId="77777777" w:rsidTr="00485E0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30789F" w14:textId="77777777" w:rsidR="00485E09" w:rsidRPr="00E325E8" w:rsidRDefault="00485E09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STAVKA PRORAČUNA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9065BF" w14:textId="77777777" w:rsidR="00485E09" w:rsidRPr="00E325E8" w:rsidRDefault="00485E09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OBRAZLOŽENJE ZA IZMJENU (rebalans)</w:t>
            </w:r>
          </w:p>
        </w:tc>
      </w:tr>
      <w:tr w:rsidR="00485E09" w:rsidRPr="00E325E8" w14:paraId="7FE700B8" w14:textId="77777777" w:rsidTr="00485E0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57E2" w14:textId="77777777" w:rsidR="00485E09" w:rsidRPr="00E325E8" w:rsidRDefault="00485E09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Naziv programa: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4E99" w14:textId="77777777" w:rsidR="00485E09" w:rsidRPr="00E325E8" w:rsidRDefault="00485E09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E325E8">
              <w:rPr>
                <w:rFonts w:cs="Calibri"/>
                <w:b/>
                <w:sz w:val="20"/>
                <w:szCs w:val="20"/>
              </w:rPr>
              <w:t>1001 Dokumenti prostornog uređenja</w:t>
            </w:r>
          </w:p>
        </w:tc>
      </w:tr>
      <w:tr w:rsidR="00485E09" w:rsidRPr="00E325E8" w14:paraId="458810EC" w14:textId="77777777" w:rsidTr="00485E0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9B70" w14:textId="7AE0DFBE" w:rsidR="00485E09" w:rsidRPr="00E325E8" w:rsidRDefault="00485E09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</w:t>
            </w:r>
            <w:r w:rsidR="005D2680" w:rsidRPr="00E325E8">
              <w:rPr>
                <w:rFonts w:cs="Calibri"/>
                <w:bCs/>
                <w:sz w:val="20"/>
                <w:szCs w:val="20"/>
              </w:rPr>
              <w:t>2</w:t>
            </w:r>
            <w:r w:rsidRPr="00E325E8">
              <w:rPr>
                <w:rFonts w:cs="Calibri"/>
                <w:bCs/>
                <w:sz w:val="20"/>
                <w:szCs w:val="20"/>
              </w:rPr>
              <w:t>633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F69E" w14:textId="51347662" w:rsidR="00485E09" w:rsidRPr="00E325E8" w:rsidRDefault="00485E09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>Planirana sredstva za izradu akata/dokumenata prostornog uređenja i gradnje se</w:t>
            </w:r>
            <w:r w:rsidR="001A5CB5" w:rsidRPr="00E325E8">
              <w:rPr>
                <w:rFonts w:cs="Calibri"/>
                <w:sz w:val="20"/>
                <w:szCs w:val="20"/>
                <w:lang w:eastAsia="hr-HR"/>
              </w:rPr>
              <w:t xml:space="preserve"> umanjuju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, jer </w:t>
            </w:r>
            <w:r w:rsidR="001A5CB5" w:rsidRPr="00E325E8">
              <w:rPr>
                <w:rFonts w:cs="Calibri"/>
                <w:sz w:val="20"/>
                <w:szCs w:val="20"/>
                <w:lang w:eastAsia="hr-HR"/>
              </w:rPr>
              <w:t>će novo</w:t>
            </w:r>
            <w:r w:rsidR="002B26C1" w:rsidRPr="00E325E8">
              <w:rPr>
                <w:rFonts w:cs="Calibri"/>
                <w:sz w:val="20"/>
                <w:szCs w:val="20"/>
                <w:lang w:eastAsia="hr-HR"/>
              </w:rPr>
              <w:t>-</w:t>
            </w:r>
            <w:r w:rsidR="001A5CB5" w:rsidRPr="00E325E8">
              <w:rPr>
                <w:rFonts w:cs="Calibri"/>
                <w:sz w:val="20"/>
                <w:szCs w:val="20"/>
                <w:lang w:eastAsia="hr-HR"/>
              </w:rPr>
              <w:t>planirana sredstva biti dostatna za izradu plana</w:t>
            </w:r>
            <w:r w:rsidR="002B26C1" w:rsidRPr="00E325E8">
              <w:rPr>
                <w:rFonts w:cs="Calibri"/>
                <w:sz w:val="20"/>
                <w:szCs w:val="20"/>
                <w:lang w:eastAsia="hr-HR"/>
              </w:rPr>
              <w:t xml:space="preserve"> ( u tijeku izrada IV. i V. izmjena i dopuna prostornog plana Sisačko-moslavačke županije)</w:t>
            </w:r>
          </w:p>
        </w:tc>
      </w:tr>
      <w:tr w:rsidR="005D2680" w:rsidRPr="00E325E8" w14:paraId="558C8775" w14:textId="77777777" w:rsidTr="00485E0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854D" w14:textId="648FC1D2" w:rsidR="005D2680" w:rsidRPr="00E325E8" w:rsidRDefault="005D2680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lastRenderedPageBreak/>
              <w:t>R2633-2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8C20" w14:textId="0E52FB4A" w:rsidR="005D2680" w:rsidRPr="00E325E8" w:rsidRDefault="005D2680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>Sredstva namijenjena za izradu Strateške studije utjecaja na okoliš IV. izmjena i dopuna Prostornog plana županije u iznosu od 200.000,00 kn se ne mijenjaju.</w:t>
            </w:r>
          </w:p>
        </w:tc>
      </w:tr>
      <w:tr w:rsidR="005D2680" w:rsidRPr="00E325E8" w14:paraId="25FF64D7" w14:textId="77777777" w:rsidTr="00485E0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2883" w14:textId="53CDCE83" w:rsidR="005D2680" w:rsidRPr="00E325E8" w:rsidRDefault="005D2680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R2633-3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15F0" w14:textId="0DAA20B3" w:rsidR="005D2680" w:rsidRPr="00E325E8" w:rsidRDefault="005D2680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>Sredstva za provedbu postupaka javnog uvida i rasprave u iznosu od 20.000,00 kn se ne mijenjanju.</w:t>
            </w:r>
          </w:p>
        </w:tc>
      </w:tr>
      <w:tr w:rsidR="00485E09" w:rsidRPr="00E325E8" w14:paraId="098AD7CA" w14:textId="77777777" w:rsidTr="00485E0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FB97" w14:textId="2D1BD8A6" w:rsidR="00485E09" w:rsidRPr="00E325E8" w:rsidRDefault="00485E09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R2633-</w:t>
            </w:r>
            <w:r w:rsidR="001A5CB5" w:rsidRPr="00E325E8">
              <w:rPr>
                <w:rFonts w:cs="Calibri"/>
                <w:bCs/>
                <w:sz w:val="20"/>
                <w:szCs w:val="20"/>
              </w:rPr>
              <w:t>6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78C5" w14:textId="4609F0A7" w:rsidR="00485E09" w:rsidRPr="00E325E8" w:rsidRDefault="005D2680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Sredstva </w:t>
            </w:r>
            <w:r w:rsidR="005B52B5" w:rsidRPr="00E325E8">
              <w:rPr>
                <w:rFonts w:cs="Calibri"/>
                <w:sz w:val="20"/>
                <w:szCs w:val="20"/>
                <w:lang w:eastAsia="hr-HR"/>
              </w:rPr>
              <w:t>iz</w:t>
            </w:r>
            <w:r w:rsidR="001A5CB5" w:rsidRPr="00E325E8">
              <w:rPr>
                <w:rFonts w:cs="Calibri"/>
                <w:sz w:val="20"/>
                <w:szCs w:val="20"/>
                <w:lang w:eastAsia="hr-HR"/>
              </w:rPr>
              <w:t xml:space="preserve"> izvora 4.3. (prihod za posebne namjene)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 su sredstva </w:t>
            </w:r>
            <w:r w:rsidR="005B52B5" w:rsidRPr="00E325E8">
              <w:rPr>
                <w:rFonts w:cs="Calibri"/>
                <w:sz w:val="20"/>
                <w:szCs w:val="20"/>
                <w:lang w:eastAsia="hr-HR"/>
              </w:rPr>
              <w:t>namijenjena za troškove članova Stručnog povjerenstva za stratešku procjenu utjecaja na okoliš V. izmjena i dopuna Prostornog plana SMŽ.</w:t>
            </w:r>
          </w:p>
        </w:tc>
      </w:tr>
      <w:tr w:rsidR="00485E09" w:rsidRPr="00E325E8" w14:paraId="72191B10" w14:textId="77777777" w:rsidTr="00485E0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1908" w14:textId="77777777" w:rsidR="00485E09" w:rsidRPr="00E325E8" w:rsidRDefault="00485E09">
            <w:pPr>
              <w:tabs>
                <w:tab w:val="left" w:pos="3053"/>
              </w:tabs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R2635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07AC" w14:textId="34533A35" w:rsidR="00485E09" w:rsidRPr="00E325E8" w:rsidRDefault="00485E09">
            <w:pPr>
              <w:tabs>
                <w:tab w:val="left" w:pos="3053"/>
              </w:tabs>
              <w:spacing w:after="0"/>
              <w:jc w:val="both"/>
              <w:rPr>
                <w:rFonts w:cs="Calibri"/>
                <w:sz w:val="20"/>
                <w:szCs w:val="20"/>
                <w:lang w:eastAsia="hr-HR"/>
              </w:rPr>
            </w:pPr>
            <w:r w:rsidRPr="00E325E8">
              <w:rPr>
                <w:rFonts w:cs="Calibri"/>
                <w:sz w:val="20"/>
                <w:szCs w:val="20"/>
                <w:lang w:eastAsia="hr-HR"/>
              </w:rPr>
              <w:t>Sredstva za izradu Plana približnih vrijednosti nekretnina na području SMŽ se smanjuju jer će novo</w:t>
            </w:r>
            <w:r w:rsidR="00DB58E5" w:rsidRPr="00E325E8">
              <w:rPr>
                <w:rFonts w:cs="Calibri"/>
                <w:sz w:val="20"/>
                <w:szCs w:val="20"/>
                <w:lang w:eastAsia="hr-HR"/>
              </w:rPr>
              <w:t>-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 xml:space="preserve">planirana sredstva biti dostatna za izradu </w:t>
            </w:r>
            <w:r w:rsidR="005B52B5" w:rsidRPr="00E325E8">
              <w:rPr>
                <w:rFonts w:cs="Calibri"/>
                <w:sz w:val="20"/>
                <w:szCs w:val="20"/>
                <w:lang w:eastAsia="hr-HR"/>
              </w:rPr>
              <w:t>dokumenta</w:t>
            </w:r>
            <w:r w:rsidRPr="00E325E8">
              <w:rPr>
                <w:rFonts w:cs="Calibri"/>
                <w:sz w:val="20"/>
                <w:szCs w:val="20"/>
                <w:lang w:eastAsia="hr-HR"/>
              </w:rPr>
              <w:t>.</w:t>
            </w:r>
          </w:p>
        </w:tc>
      </w:tr>
    </w:tbl>
    <w:p w14:paraId="4CC92BA0" w14:textId="15723D8B" w:rsidR="00DB58E5" w:rsidRDefault="00E325E8" w:rsidP="004703CB">
      <w:pPr>
        <w:tabs>
          <w:tab w:val="left" w:pos="3053"/>
        </w:tabs>
        <w:spacing w:after="0"/>
        <w:rPr>
          <w:rFonts w:cs="Calibri"/>
        </w:rPr>
      </w:pPr>
      <w:r>
        <w:rPr>
          <w:rFonts w:cs="Calibri"/>
        </w:rPr>
        <w:t xml:space="preserve">Obrazloženje za Upravni odjel za prostorno uređenje, graditeljstvo i obnovu daje privremena pročelnica Blanka Bobetko Majstorović, dipl. ing. </w:t>
      </w:r>
      <w:proofErr w:type="spellStart"/>
      <w:r>
        <w:rPr>
          <w:rFonts w:cs="Calibri"/>
        </w:rPr>
        <w:t>biol</w:t>
      </w:r>
      <w:proofErr w:type="spellEnd"/>
      <w:r>
        <w:rPr>
          <w:rFonts w:cs="Calibri"/>
        </w:rPr>
        <w:t xml:space="preserve">. </w:t>
      </w:r>
    </w:p>
    <w:p w14:paraId="5AAFB8EA" w14:textId="77777777" w:rsidR="00E325E8" w:rsidRDefault="00E325E8" w:rsidP="004703CB">
      <w:pPr>
        <w:tabs>
          <w:tab w:val="left" w:pos="3053"/>
        </w:tabs>
        <w:spacing w:after="0"/>
        <w:rPr>
          <w:rFonts w:cs="Calibri"/>
        </w:rPr>
      </w:pPr>
    </w:p>
    <w:p w14:paraId="5F31A96C" w14:textId="03A63490" w:rsidR="004703CB" w:rsidRPr="00DB58E5" w:rsidRDefault="00DB58E5" w:rsidP="00E325E8">
      <w:pPr>
        <w:tabs>
          <w:tab w:val="left" w:pos="3053"/>
        </w:tabs>
        <w:spacing w:after="0"/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GLAVA</w:t>
      </w:r>
      <w:r w:rsidRPr="00DB58E5">
        <w:rPr>
          <w:rFonts w:cs="Calibri"/>
          <w:b/>
          <w:bCs/>
          <w:sz w:val="20"/>
          <w:szCs w:val="20"/>
        </w:rPr>
        <w:t xml:space="preserve"> 01602 </w:t>
      </w:r>
      <w:r>
        <w:rPr>
          <w:rFonts w:cs="Calibri"/>
          <w:b/>
          <w:bCs/>
          <w:sz w:val="20"/>
          <w:szCs w:val="20"/>
        </w:rPr>
        <w:t xml:space="preserve">- </w:t>
      </w:r>
      <w:r w:rsidRPr="00DB58E5">
        <w:rPr>
          <w:rFonts w:cs="Calibri"/>
          <w:b/>
          <w:bCs/>
          <w:sz w:val="20"/>
          <w:szCs w:val="20"/>
        </w:rPr>
        <w:t>Zavod za prostorno uređenje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A67207" w14:paraId="2C929E38" w14:textId="77777777" w:rsidTr="00EE0D29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FCA6" w14:textId="54E213C7" w:rsidR="00A67207" w:rsidRDefault="00A67207" w:rsidP="00EE0D2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Program 100</w:t>
            </w:r>
            <w:r w:rsidR="00DB58E5">
              <w:rPr>
                <w:b/>
                <w:sz w:val="18"/>
                <w:szCs w:val="18"/>
              </w:rPr>
              <w:t>4</w:t>
            </w:r>
          </w:p>
          <w:p w14:paraId="12005462" w14:textId="32E1E5BB" w:rsidR="00A67207" w:rsidRDefault="00DB58E5" w:rsidP="00EE0D2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Javna uprava i administracija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F29E" w14:textId="77777777" w:rsidR="00A67207" w:rsidRDefault="00A67207" w:rsidP="00EE0D2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56806" w14:textId="77777777" w:rsidR="00A67207" w:rsidRDefault="00A67207" w:rsidP="00EE0D2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72BD" w14:textId="77777777" w:rsidR="00A67207" w:rsidRDefault="00A67207" w:rsidP="00EE0D29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Razlika </w:t>
            </w:r>
          </w:p>
        </w:tc>
      </w:tr>
      <w:tr w:rsidR="00A67207" w14:paraId="31B698FD" w14:textId="77777777" w:rsidTr="00EE0D29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90DB" w14:textId="77777777" w:rsidR="00A67207" w:rsidRDefault="00A67207" w:rsidP="00EE0D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Aktivnost A 1000001 </w:t>
            </w:r>
          </w:p>
          <w:p w14:paraId="19D270FD" w14:textId="4B265DC6" w:rsidR="00A67207" w:rsidRDefault="00DB58E5" w:rsidP="009C11A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Izvršna uprava Zavoda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6A89" w14:textId="77777777" w:rsidR="00A67207" w:rsidRDefault="00DB58E5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2.727.242,00</w:t>
            </w:r>
          </w:p>
          <w:p w14:paraId="6946D02D" w14:textId="77777777" w:rsidR="009C11A4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(iz izvora 1.1. – 2.359.742,00</w:t>
            </w:r>
          </w:p>
          <w:p w14:paraId="39455435" w14:textId="599FFA01" w:rsidR="009C11A4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D0A7" w14:textId="77777777" w:rsidR="00A67207" w:rsidRDefault="00DB58E5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2.984.</w:t>
            </w:r>
            <w:r w:rsidR="009C11A4">
              <w:rPr>
                <w:sz w:val="18"/>
                <w:szCs w:val="18"/>
              </w:rPr>
              <w:t>242,00</w:t>
            </w:r>
          </w:p>
          <w:p w14:paraId="28CC3FD8" w14:textId="77777777" w:rsidR="009C11A4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(iz izvora 1.1.</w:t>
            </w:r>
          </w:p>
          <w:p w14:paraId="33BC34DE" w14:textId="60C17E04" w:rsidR="009C11A4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2.359.742,00)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469E" w14:textId="77777777" w:rsidR="00A67207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+130.000,00</w:t>
            </w:r>
          </w:p>
          <w:p w14:paraId="56450AA7" w14:textId="06CB952C" w:rsidR="009C11A4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(iz izvora 1.1. nema promjena)</w:t>
            </w:r>
          </w:p>
        </w:tc>
      </w:tr>
      <w:tr w:rsidR="00A67207" w14:paraId="795CA75C" w14:textId="77777777" w:rsidTr="00EE0D29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E01A" w14:textId="181041F1" w:rsidR="00A67207" w:rsidRDefault="009C11A4" w:rsidP="00EE0D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Vlastiti prihod (planiran)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DD43" w14:textId="77777777" w:rsidR="00A67207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338.500,00</w:t>
            </w:r>
          </w:p>
          <w:p w14:paraId="3FFD1625" w14:textId="7AF2DA6B" w:rsidR="009C11A4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BB14" w14:textId="77777777" w:rsidR="00A67207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338.500,00</w:t>
            </w:r>
          </w:p>
          <w:p w14:paraId="6B4754F8" w14:textId="66F3507A" w:rsidR="009C11A4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+130.000,00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D10" w14:textId="77777777" w:rsidR="00A67207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338.500,00</w:t>
            </w:r>
          </w:p>
          <w:p w14:paraId="2A938B88" w14:textId="048F0CD0" w:rsidR="009C11A4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+ 130.000,00</w:t>
            </w:r>
          </w:p>
        </w:tc>
      </w:tr>
      <w:tr w:rsidR="00A67207" w14:paraId="56840A22" w14:textId="77777777" w:rsidTr="00EE0D29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7525" w14:textId="77777777" w:rsidR="00A67207" w:rsidRPr="00880E11" w:rsidRDefault="00A67207" w:rsidP="00EE0D29">
            <w:pPr>
              <w:spacing w:after="0"/>
              <w:jc w:val="center"/>
              <w:rPr>
                <w:sz w:val="8"/>
                <w:szCs w:val="8"/>
              </w:rPr>
            </w:pPr>
          </w:p>
          <w:p w14:paraId="37D40F0B" w14:textId="77777777" w:rsidR="00A67207" w:rsidRDefault="00A67207" w:rsidP="00EE0D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 A 100002</w:t>
            </w:r>
          </w:p>
          <w:p w14:paraId="5D51E38C" w14:textId="6BD70736" w:rsidR="00A67207" w:rsidRDefault="009C11A4" w:rsidP="00EE0D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Izrada i razvoj Geo portala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67CC" w14:textId="5965B26C" w:rsidR="00A67207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D334" w14:textId="6A25151A" w:rsidR="00A67207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46,500,00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406B" w14:textId="6D73AE09" w:rsidR="00A67207" w:rsidRDefault="009C11A4" w:rsidP="00EE0D29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nema</w:t>
            </w:r>
          </w:p>
        </w:tc>
      </w:tr>
    </w:tbl>
    <w:p w14:paraId="2289AE09" w14:textId="77777777" w:rsidR="00E325E8" w:rsidRPr="00E325E8" w:rsidRDefault="00E325E8" w:rsidP="005D2680">
      <w:pPr>
        <w:tabs>
          <w:tab w:val="left" w:pos="3053"/>
        </w:tabs>
        <w:spacing w:after="0"/>
        <w:rPr>
          <w:rFonts w:cs="Calibri"/>
          <w:sz w:val="8"/>
          <w:szCs w:val="8"/>
        </w:rPr>
      </w:pPr>
    </w:p>
    <w:p w14:paraId="27EC2344" w14:textId="77777777" w:rsidR="002710E1" w:rsidRDefault="009C11A4" w:rsidP="005D2680">
      <w:pPr>
        <w:tabs>
          <w:tab w:val="left" w:pos="3053"/>
        </w:tabs>
        <w:spacing w:after="0"/>
        <w:rPr>
          <w:rFonts w:cs="Calibri"/>
        </w:rPr>
      </w:pPr>
      <w:r>
        <w:rPr>
          <w:rFonts w:cs="Calibri"/>
        </w:rPr>
        <w:t>Planirana sredstva Zavoda za prostorno uređenje se na rebalansu povećavaju za 130.000,00 kuna</w:t>
      </w:r>
      <w:r w:rsidR="00E325E8">
        <w:rPr>
          <w:rFonts w:cs="Calibri"/>
        </w:rPr>
        <w:t xml:space="preserve">, </w:t>
      </w:r>
      <w:r>
        <w:rPr>
          <w:rFonts w:cs="Calibri"/>
        </w:rPr>
        <w:t xml:space="preserve">ali iz </w:t>
      </w:r>
      <w:r w:rsidR="005D2680">
        <w:rPr>
          <w:rFonts w:cs="Calibri"/>
        </w:rPr>
        <w:t xml:space="preserve">drugih izvora, dok planirani iznos iz proračuna županije ostaje nepromijenjen. Razlika </w:t>
      </w:r>
      <w:r w:rsidR="00E325E8">
        <w:rPr>
          <w:rFonts w:cs="Calibri"/>
        </w:rPr>
        <w:t xml:space="preserve">tj. povećanje </w:t>
      </w:r>
      <w:r w:rsidR="005D2680">
        <w:rPr>
          <w:rFonts w:cs="Calibri"/>
        </w:rPr>
        <w:t xml:space="preserve">od 130.000,00 kuna </w:t>
      </w:r>
      <w:r w:rsidR="00E325E8">
        <w:rPr>
          <w:rFonts w:cs="Calibri"/>
        </w:rPr>
        <w:t xml:space="preserve">je nastalo jer je ugovorena izrada V. izmjena </w:t>
      </w:r>
      <w:r w:rsidR="005D2680">
        <w:rPr>
          <w:rFonts w:cs="Calibri"/>
        </w:rPr>
        <w:t>i dopun</w:t>
      </w:r>
      <w:r w:rsidR="00E325E8">
        <w:rPr>
          <w:rFonts w:cs="Calibri"/>
        </w:rPr>
        <w:t>a</w:t>
      </w:r>
      <w:r w:rsidR="005D2680">
        <w:rPr>
          <w:rFonts w:cs="Calibri"/>
        </w:rPr>
        <w:t xml:space="preserve"> Prostornog plana </w:t>
      </w:r>
      <w:r w:rsidR="00E325E8">
        <w:rPr>
          <w:rFonts w:cs="Calibri"/>
        </w:rPr>
        <w:t>županije te su to sredstva koja je za izradu Plana uplatio tražitelj izmjena Plana.</w:t>
      </w:r>
      <w:r w:rsidR="005D2680">
        <w:rPr>
          <w:rFonts w:cs="Calibri"/>
        </w:rPr>
        <w:t xml:space="preserve"> </w:t>
      </w:r>
      <w:r w:rsidR="004703CB">
        <w:rPr>
          <w:rFonts w:cs="Calibri"/>
        </w:rPr>
        <w:tab/>
      </w:r>
    </w:p>
    <w:p w14:paraId="793FF849" w14:textId="660D5113" w:rsidR="00485E09" w:rsidRPr="002710E1" w:rsidRDefault="004703CB" w:rsidP="005D2680">
      <w:pPr>
        <w:tabs>
          <w:tab w:val="left" w:pos="3053"/>
        </w:tabs>
        <w:spacing w:after="0"/>
        <w:rPr>
          <w:rFonts w:cs="Calibri"/>
          <w:sz w:val="8"/>
          <w:szCs w:val="8"/>
        </w:rPr>
      </w:pPr>
      <w:r>
        <w:rPr>
          <w:rFonts w:cs="Calibri"/>
        </w:rPr>
        <w:tab/>
      </w:r>
    </w:p>
    <w:p w14:paraId="26250BA5" w14:textId="69E44E22" w:rsidR="00485E09" w:rsidRPr="002710E1" w:rsidRDefault="00E325E8" w:rsidP="002710E1">
      <w:pPr>
        <w:tabs>
          <w:tab w:val="left" w:pos="3053"/>
        </w:tabs>
        <w:spacing w:after="0"/>
        <w:jc w:val="center"/>
        <w:rPr>
          <w:rFonts w:cs="Calibri"/>
          <w:bCs/>
        </w:rPr>
      </w:pPr>
      <w:r w:rsidRPr="002710E1">
        <w:rPr>
          <w:rFonts w:cs="Calibri"/>
          <w:bCs/>
        </w:rPr>
        <w:t>DETALJNO OBRAZLOŽENJE IZMJENA I DOPUNA PRORAČUNA UO ZA 2022. GODINU PO STAVKAMA: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6190"/>
      </w:tblGrid>
      <w:tr w:rsidR="00485E09" w14:paraId="0C1FDC9C" w14:textId="77777777" w:rsidTr="00E325E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14:paraId="763C8DFB" w14:textId="77777777" w:rsidR="00485E09" w:rsidRDefault="00485E09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RAZDJEL 016 – GLAVA 01602 ZAVOD ZA PROSTORNO UREĐENJE SMŽ</w:t>
            </w:r>
          </w:p>
        </w:tc>
      </w:tr>
      <w:tr w:rsidR="00485E09" w14:paraId="382D9825" w14:textId="77777777" w:rsidTr="00E325E8">
        <w:trPr>
          <w:cantSplit/>
          <w:trHeight w:val="135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3D5EFB0E" w14:textId="77777777" w:rsidR="00485E09" w:rsidRDefault="00485E09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STAVKA PRORAČUNA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7FD20C44" w14:textId="77777777" w:rsidR="00485E09" w:rsidRDefault="00485E09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OBRAZLOŽENJE ZA IZMJENE (rebalans)</w:t>
            </w:r>
          </w:p>
        </w:tc>
      </w:tr>
      <w:tr w:rsidR="00485E09" w14:paraId="655BA46F" w14:textId="77777777" w:rsidTr="00E325E8">
        <w:trPr>
          <w:trHeight w:val="384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9EA1" w14:textId="77777777" w:rsidR="00485E09" w:rsidRDefault="00485E09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Naziv programa: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6280" w14:textId="77777777" w:rsidR="00485E09" w:rsidRDefault="00485E09">
            <w:pPr>
              <w:spacing w:after="0"/>
              <w:jc w:val="both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hr-HR"/>
              </w:rPr>
              <w:t>1004 Javna uprava i administracija Zavoda</w:t>
            </w:r>
          </w:p>
        </w:tc>
      </w:tr>
      <w:tr w:rsidR="00880E11" w:rsidRPr="00880E11" w14:paraId="57BA74ED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31A9" w14:textId="77777777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R2663</w:t>
            </w:r>
          </w:p>
          <w:p w14:paraId="733DD31E" w14:textId="77777777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R2665</w:t>
            </w:r>
          </w:p>
          <w:p w14:paraId="25D924FB" w14:textId="77777777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R2668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670F" w14:textId="1AB36123" w:rsidR="00485E09" w:rsidRPr="00880E11" w:rsidRDefault="00485E09" w:rsidP="009339CE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  <w:lang w:eastAsia="hr-HR"/>
              </w:rPr>
              <w:t>Sredstva namijenjena za plaće</w:t>
            </w:r>
            <w:r w:rsidR="009F39F6" w:rsidRPr="00880E11">
              <w:rPr>
                <w:rFonts w:cs="Calibri"/>
                <w:sz w:val="20"/>
                <w:szCs w:val="20"/>
                <w:lang w:eastAsia="hr-HR"/>
              </w:rPr>
              <w:t xml:space="preserve"> i</w:t>
            </w:r>
            <w:r w:rsidR="001A5CB5" w:rsidRPr="00880E11">
              <w:rPr>
                <w:rFonts w:cs="Calibri"/>
                <w:sz w:val="20"/>
                <w:szCs w:val="20"/>
                <w:lang w:eastAsia="hr-HR"/>
              </w:rPr>
              <w:t xml:space="preserve"> naknade za prijevoz s posla i na posao </w:t>
            </w:r>
            <w:r w:rsidRPr="00880E11">
              <w:rPr>
                <w:rFonts w:cs="Calibri"/>
                <w:sz w:val="20"/>
                <w:szCs w:val="20"/>
                <w:lang w:eastAsia="hr-HR"/>
              </w:rPr>
              <w:t xml:space="preserve"> djelatnicima</w:t>
            </w:r>
            <w:r w:rsidR="009F39F6" w:rsidRPr="00880E11">
              <w:rPr>
                <w:rFonts w:cs="Calibri"/>
                <w:sz w:val="20"/>
                <w:szCs w:val="20"/>
                <w:lang w:eastAsia="hr-HR"/>
              </w:rPr>
              <w:t>, te doprinosi za zdravstveno osiguranje</w:t>
            </w:r>
            <w:r w:rsidRPr="00880E11">
              <w:rPr>
                <w:rFonts w:cs="Calibri"/>
                <w:sz w:val="20"/>
                <w:szCs w:val="20"/>
                <w:lang w:eastAsia="hr-HR"/>
              </w:rPr>
              <w:t xml:space="preserve"> </w:t>
            </w:r>
            <w:r w:rsidR="009F39F6" w:rsidRPr="00880E11">
              <w:rPr>
                <w:rFonts w:cs="Calibri"/>
                <w:sz w:val="20"/>
                <w:szCs w:val="20"/>
                <w:lang w:eastAsia="hr-HR"/>
              </w:rPr>
              <w:t xml:space="preserve">su </w:t>
            </w:r>
            <w:r w:rsidRPr="00880E11">
              <w:rPr>
                <w:rFonts w:cs="Calibri"/>
                <w:sz w:val="20"/>
                <w:szCs w:val="20"/>
                <w:lang w:eastAsia="hr-HR"/>
              </w:rPr>
              <w:t>umanjena</w:t>
            </w:r>
            <w:r w:rsidR="009339CE">
              <w:rPr>
                <w:rFonts w:cs="Calibri"/>
                <w:sz w:val="20"/>
                <w:szCs w:val="20"/>
                <w:lang w:eastAsia="hr-HR"/>
              </w:rPr>
              <w:t xml:space="preserve"> zbog bolovanja djelatnika</w:t>
            </w:r>
            <w:r w:rsidR="00A72F71">
              <w:rPr>
                <w:rFonts w:cs="Calibri"/>
                <w:sz w:val="20"/>
                <w:szCs w:val="20"/>
                <w:lang w:eastAsia="hr-HR"/>
              </w:rPr>
              <w:t>.</w:t>
            </w:r>
          </w:p>
        </w:tc>
      </w:tr>
      <w:tr w:rsidR="00880E11" w:rsidRPr="00880E11" w14:paraId="526FEFD7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CEC4" w14:textId="57ED169C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R267</w:t>
            </w:r>
            <w:r w:rsidR="009F39F6" w:rsidRPr="00E325E8"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0C0B" w14:textId="6EA24E6F" w:rsidR="00485E09" w:rsidRPr="00880E11" w:rsidRDefault="00485E09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 xml:space="preserve">Sredstva namijenjena za </w:t>
            </w:r>
            <w:r w:rsidR="009F39F6" w:rsidRPr="00880E11">
              <w:rPr>
                <w:rFonts w:cs="Calibri"/>
                <w:sz w:val="20"/>
                <w:szCs w:val="20"/>
              </w:rPr>
              <w:t>troškove energije se povećavaju zbog povećanja cijene</w:t>
            </w:r>
            <w:r w:rsidR="00174463">
              <w:rPr>
                <w:rFonts w:cs="Calibri"/>
                <w:sz w:val="20"/>
                <w:szCs w:val="20"/>
              </w:rPr>
              <w:t xml:space="preserve"> energenata</w:t>
            </w:r>
            <w:r w:rsidR="00A72F71">
              <w:rPr>
                <w:rFonts w:cs="Calibri"/>
                <w:sz w:val="20"/>
                <w:szCs w:val="20"/>
              </w:rPr>
              <w:t>.</w:t>
            </w:r>
          </w:p>
        </w:tc>
      </w:tr>
      <w:tr w:rsidR="00880E11" w:rsidRPr="00880E11" w14:paraId="00155CEC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0EFE3" w14:textId="1072D663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</w:t>
            </w:r>
            <w:r w:rsidR="009F39F6" w:rsidRPr="00E325E8">
              <w:rPr>
                <w:rFonts w:cs="Calibri"/>
                <w:bCs/>
                <w:sz w:val="20"/>
                <w:szCs w:val="20"/>
              </w:rPr>
              <w:t>84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549E" w14:textId="63A7E68B" w:rsidR="009F39F6" w:rsidRPr="00880E11" w:rsidRDefault="00485E09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 xml:space="preserve">Sredstva za </w:t>
            </w:r>
            <w:r w:rsidR="009F39F6" w:rsidRPr="00880E11">
              <w:rPr>
                <w:rFonts w:cs="Calibri"/>
                <w:sz w:val="20"/>
                <w:szCs w:val="20"/>
              </w:rPr>
              <w:t>reprezentaciju se povećavaju  s 1.000</w:t>
            </w:r>
            <w:r w:rsidR="00174463">
              <w:rPr>
                <w:rFonts w:cs="Calibri"/>
                <w:sz w:val="20"/>
                <w:szCs w:val="20"/>
              </w:rPr>
              <w:t xml:space="preserve"> kn</w:t>
            </w:r>
            <w:r w:rsidR="009F39F6" w:rsidRPr="00880E11">
              <w:rPr>
                <w:rFonts w:cs="Calibri"/>
                <w:sz w:val="20"/>
                <w:szCs w:val="20"/>
              </w:rPr>
              <w:t xml:space="preserve"> na 4.800 kn zbog</w:t>
            </w:r>
            <w:r w:rsidR="009339CE">
              <w:rPr>
                <w:rFonts w:cs="Calibri"/>
                <w:sz w:val="20"/>
                <w:szCs w:val="20"/>
              </w:rPr>
              <w:t xml:space="preserve"> povećanja obima posla i povećanja cijena</w:t>
            </w:r>
            <w:r w:rsidR="00A72F71">
              <w:rPr>
                <w:rFonts w:cs="Calibri"/>
                <w:sz w:val="20"/>
                <w:szCs w:val="20"/>
              </w:rPr>
              <w:t>.</w:t>
            </w:r>
          </w:p>
          <w:p w14:paraId="5B0F96B4" w14:textId="22FC436F" w:rsidR="00485E09" w:rsidRPr="00880E11" w:rsidRDefault="00485E09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9F39F6" w:rsidRPr="00880E11" w14:paraId="0B21B66F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872D" w14:textId="7C07961B" w:rsidR="009F39F6" w:rsidRPr="00E325E8" w:rsidRDefault="009F39F6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R2686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92C7" w14:textId="3B4443D4" w:rsidR="009F39F6" w:rsidRPr="00880E11" w:rsidRDefault="009F39F6" w:rsidP="004B7F5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 xml:space="preserve">Sredstva za ostale namjene se povećavaju </w:t>
            </w:r>
            <w:r w:rsidR="003473AB" w:rsidRPr="00880E11">
              <w:rPr>
                <w:rFonts w:cs="Calibri"/>
                <w:sz w:val="20"/>
                <w:szCs w:val="20"/>
              </w:rPr>
              <w:t>zbog</w:t>
            </w:r>
            <w:r w:rsidR="00F77362">
              <w:rPr>
                <w:rFonts w:cs="Calibri"/>
                <w:sz w:val="20"/>
                <w:szCs w:val="20"/>
              </w:rPr>
              <w:t xml:space="preserve"> troška </w:t>
            </w:r>
            <w:r w:rsidR="004B7F5C">
              <w:rPr>
                <w:rFonts w:cs="Calibri"/>
                <w:sz w:val="20"/>
                <w:szCs w:val="20"/>
              </w:rPr>
              <w:t>certifikata</w:t>
            </w:r>
            <w:r w:rsidR="00F77362">
              <w:rPr>
                <w:rFonts w:cs="Calibri"/>
                <w:sz w:val="20"/>
                <w:szCs w:val="20"/>
              </w:rPr>
              <w:t xml:space="preserve"> i tr</w:t>
            </w:r>
            <w:r w:rsidR="00174463">
              <w:rPr>
                <w:rFonts w:cs="Calibri"/>
                <w:sz w:val="20"/>
                <w:szCs w:val="20"/>
              </w:rPr>
              <w:t xml:space="preserve">oška </w:t>
            </w:r>
            <w:r w:rsidR="00F77362">
              <w:rPr>
                <w:rFonts w:cs="Calibri"/>
                <w:sz w:val="20"/>
                <w:szCs w:val="20"/>
              </w:rPr>
              <w:t>javnog bilježnika</w:t>
            </w:r>
            <w:r w:rsidR="00A72F71">
              <w:rPr>
                <w:rFonts w:cs="Calibri"/>
                <w:sz w:val="20"/>
                <w:szCs w:val="20"/>
              </w:rPr>
              <w:t>.</w:t>
            </w:r>
          </w:p>
        </w:tc>
      </w:tr>
      <w:tr w:rsidR="00880E11" w:rsidRPr="00880E11" w14:paraId="382FD706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81EE" w14:textId="39CFAE84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</w:t>
            </w:r>
            <w:r w:rsidR="003473AB" w:rsidRPr="00E325E8">
              <w:rPr>
                <w:rFonts w:cs="Calibri"/>
                <w:bCs/>
                <w:sz w:val="20"/>
                <w:szCs w:val="20"/>
              </w:rPr>
              <w:t>4001-2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6A25" w14:textId="2A6C7956" w:rsidR="00485E09" w:rsidRPr="00880E11" w:rsidRDefault="003473A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>Sredstva za službena putovanja se povećavaju na 8.000 kn (napomena sredstva su iz ostalih prihoda)</w:t>
            </w:r>
          </w:p>
        </w:tc>
      </w:tr>
      <w:tr w:rsidR="00880E11" w:rsidRPr="00880E11" w14:paraId="10750402" w14:textId="77777777" w:rsidTr="00E325E8">
        <w:trPr>
          <w:trHeight w:val="533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C2E5" w14:textId="10BC9519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</w:t>
            </w:r>
            <w:r w:rsidR="003473AB" w:rsidRPr="00E325E8">
              <w:rPr>
                <w:rFonts w:cs="Calibri"/>
                <w:bCs/>
                <w:sz w:val="20"/>
                <w:szCs w:val="20"/>
              </w:rPr>
              <w:t>4001-3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8A21" w14:textId="62538FE2" w:rsidR="00485E09" w:rsidRPr="00880E11" w:rsidRDefault="003473A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>Sredstva za stručno usavršavanje zaposlenika se povećavaju na 12.000 kn (</w:t>
            </w:r>
            <w:r w:rsidR="00880E11" w:rsidRPr="00880E11">
              <w:rPr>
                <w:rFonts w:cs="Calibri"/>
                <w:sz w:val="20"/>
                <w:szCs w:val="20"/>
              </w:rPr>
              <w:t>napomena sredstva su iz ostalih prihoda)</w:t>
            </w:r>
          </w:p>
        </w:tc>
      </w:tr>
      <w:tr w:rsidR="00880E11" w:rsidRPr="00880E11" w14:paraId="483C3CD6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8967" w14:textId="016AEC94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</w:t>
            </w:r>
            <w:r w:rsidR="003473AB" w:rsidRPr="00E325E8">
              <w:rPr>
                <w:rFonts w:cs="Calibri"/>
                <w:bCs/>
                <w:sz w:val="20"/>
                <w:szCs w:val="20"/>
              </w:rPr>
              <w:t>4001-4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3BF7" w14:textId="1193BCB1" w:rsidR="00485E09" w:rsidRPr="00880E11" w:rsidRDefault="003473A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 xml:space="preserve">Sredstva za ostale troškove zaposlenih se povećavaju </w:t>
            </w:r>
            <w:r w:rsidR="00174463">
              <w:rPr>
                <w:rFonts w:cs="Calibri"/>
                <w:sz w:val="20"/>
                <w:szCs w:val="20"/>
              </w:rPr>
              <w:t>n</w:t>
            </w:r>
            <w:r w:rsidRPr="00880E11">
              <w:rPr>
                <w:rFonts w:cs="Calibri"/>
                <w:sz w:val="20"/>
                <w:szCs w:val="20"/>
              </w:rPr>
              <w:t>a 10.000 kn (</w:t>
            </w:r>
            <w:r w:rsidR="00880E11" w:rsidRPr="00880E11">
              <w:rPr>
                <w:rFonts w:cs="Calibri"/>
                <w:sz w:val="20"/>
                <w:szCs w:val="20"/>
              </w:rPr>
              <w:t>napomena sredstva su iz ostalih prihoda)</w:t>
            </w:r>
          </w:p>
        </w:tc>
      </w:tr>
      <w:tr w:rsidR="00880E11" w:rsidRPr="00880E11" w14:paraId="1AE8FFE0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A9DE" w14:textId="7EFEAFEF" w:rsidR="00485E09" w:rsidRPr="00E325E8" w:rsidRDefault="003473AB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R4001-5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9878" w14:textId="019F4017" w:rsidR="00485E09" w:rsidRPr="00880E11" w:rsidRDefault="003473A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>Sredst</w:t>
            </w:r>
            <w:r w:rsidR="00174463">
              <w:rPr>
                <w:rFonts w:cs="Calibri"/>
                <w:sz w:val="20"/>
                <w:szCs w:val="20"/>
              </w:rPr>
              <w:t>v</w:t>
            </w:r>
            <w:r w:rsidRPr="00880E11">
              <w:rPr>
                <w:rFonts w:cs="Calibri"/>
                <w:sz w:val="20"/>
                <w:szCs w:val="20"/>
              </w:rPr>
              <w:t xml:space="preserve">a za uredski materijal se povećavaju </w:t>
            </w:r>
            <w:r w:rsidR="00174463">
              <w:rPr>
                <w:rFonts w:cs="Calibri"/>
                <w:sz w:val="20"/>
                <w:szCs w:val="20"/>
              </w:rPr>
              <w:t>n</w:t>
            </w:r>
            <w:r w:rsidRPr="00880E11">
              <w:rPr>
                <w:rFonts w:cs="Calibri"/>
                <w:sz w:val="20"/>
                <w:szCs w:val="20"/>
              </w:rPr>
              <w:t>a 16.000 kn (</w:t>
            </w:r>
            <w:r w:rsidR="00880E11" w:rsidRPr="00880E11">
              <w:rPr>
                <w:rFonts w:cs="Calibri"/>
                <w:sz w:val="20"/>
                <w:szCs w:val="20"/>
              </w:rPr>
              <w:t>napomena sredstva su iz ostalih prihoda)</w:t>
            </w:r>
          </w:p>
        </w:tc>
      </w:tr>
      <w:tr w:rsidR="00880E11" w:rsidRPr="00880E11" w14:paraId="60C18211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E467" w14:textId="6B89BD62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lastRenderedPageBreak/>
              <w:t>R</w:t>
            </w:r>
            <w:r w:rsidR="003473AB" w:rsidRPr="00E325E8">
              <w:rPr>
                <w:rFonts w:cs="Calibri"/>
                <w:bCs/>
                <w:sz w:val="20"/>
                <w:szCs w:val="20"/>
              </w:rPr>
              <w:t>4001-6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2DD1" w14:textId="6D24F5CF" w:rsidR="00485E09" w:rsidRPr="00880E11" w:rsidRDefault="003473A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 xml:space="preserve">Sredstva za zakupnine i najamnine se povećavaju </w:t>
            </w:r>
            <w:r w:rsidR="00174463">
              <w:rPr>
                <w:rFonts w:cs="Calibri"/>
                <w:sz w:val="20"/>
                <w:szCs w:val="20"/>
              </w:rPr>
              <w:t>n</w:t>
            </w:r>
            <w:r w:rsidRPr="00880E11">
              <w:rPr>
                <w:rFonts w:cs="Calibri"/>
                <w:sz w:val="20"/>
                <w:szCs w:val="20"/>
              </w:rPr>
              <w:t>a 11.500 kn (</w:t>
            </w:r>
            <w:r w:rsidR="00880E11" w:rsidRPr="00880E11">
              <w:rPr>
                <w:rFonts w:cs="Calibri"/>
                <w:sz w:val="20"/>
                <w:szCs w:val="20"/>
              </w:rPr>
              <w:t>napomena sredstva su iz ostalih prihoda)</w:t>
            </w:r>
          </w:p>
        </w:tc>
      </w:tr>
      <w:tr w:rsidR="00880E11" w:rsidRPr="00880E11" w14:paraId="107EAC35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A987" w14:textId="2EDFE412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</w:t>
            </w:r>
            <w:r w:rsidR="003473AB" w:rsidRPr="00E325E8">
              <w:rPr>
                <w:rFonts w:cs="Calibri"/>
                <w:bCs/>
                <w:sz w:val="20"/>
                <w:szCs w:val="20"/>
              </w:rPr>
              <w:t>4001-7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9AB4" w14:textId="4D765F96" w:rsidR="00485E09" w:rsidRPr="00880E11" w:rsidRDefault="003473A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>Sredstva za intelektualne usluge se povećavaju na 14.500 kn</w:t>
            </w:r>
            <w:r w:rsidR="00880E11" w:rsidRPr="00880E11">
              <w:rPr>
                <w:rFonts w:cs="Calibri"/>
                <w:sz w:val="20"/>
                <w:szCs w:val="20"/>
              </w:rPr>
              <w:t xml:space="preserve"> (napomena sredstva su iz ostalih prihoda)</w:t>
            </w:r>
          </w:p>
        </w:tc>
      </w:tr>
      <w:tr w:rsidR="00880E11" w:rsidRPr="00880E11" w14:paraId="38CD8A07" w14:textId="77777777" w:rsidTr="00E325E8">
        <w:trPr>
          <w:trHeight w:val="532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254C" w14:textId="78FC9696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</w:t>
            </w:r>
            <w:r w:rsidR="00880E11" w:rsidRPr="00E325E8">
              <w:rPr>
                <w:rFonts w:cs="Calibri"/>
                <w:bCs/>
                <w:sz w:val="20"/>
                <w:szCs w:val="20"/>
              </w:rPr>
              <w:t>4001-8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CFB7" w14:textId="513DEAD0" w:rsidR="00485E09" w:rsidRPr="00880E11" w:rsidRDefault="00880E11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>Sredstva za računalne usluge se povećavaju na 29.000 kn (napomena sredstva su iz ostalih prihoda)</w:t>
            </w:r>
          </w:p>
        </w:tc>
      </w:tr>
      <w:tr w:rsidR="00880E11" w:rsidRPr="00880E11" w14:paraId="2F08876C" w14:textId="77777777" w:rsidTr="00E325E8">
        <w:trPr>
          <w:trHeight w:val="533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139F" w14:textId="46E46C93" w:rsidR="00485E09" w:rsidRPr="00E325E8" w:rsidRDefault="00485E09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R</w:t>
            </w:r>
            <w:r w:rsidR="00880E11" w:rsidRPr="00E325E8">
              <w:rPr>
                <w:rFonts w:cs="Calibri"/>
                <w:bCs/>
                <w:sz w:val="20"/>
                <w:szCs w:val="20"/>
              </w:rPr>
              <w:t>4001-9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95E0" w14:textId="1A02B766" w:rsidR="00485E09" w:rsidRPr="00880E11" w:rsidRDefault="00880E11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880E11">
              <w:rPr>
                <w:rFonts w:cs="Calibri"/>
                <w:sz w:val="20"/>
                <w:szCs w:val="20"/>
              </w:rPr>
              <w:t>Sredstva za opremu i namještaj se povećavaju za 29.000 kn (napomena sredstva su iz ostalih prihoda)</w:t>
            </w:r>
          </w:p>
        </w:tc>
      </w:tr>
      <w:tr w:rsidR="00880E11" w:rsidRPr="00880E11" w14:paraId="2C488A2B" w14:textId="77777777" w:rsidTr="00E325E8">
        <w:trPr>
          <w:trHeight w:val="533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65D3" w14:textId="0EB605A9" w:rsidR="00880E11" w:rsidRPr="00E325E8" w:rsidRDefault="00880E11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E325E8">
              <w:rPr>
                <w:rFonts w:cs="Calibri"/>
                <w:bCs/>
                <w:sz w:val="20"/>
                <w:szCs w:val="20"/>
              </w:rPr>
              <w:t>Obrazloženje za stavke pod R4001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4464" w14:textId="46240FD5" w:rsidR="00880E11" w:rsidRPr="00880E11" w:rsidRDefault="00013C0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Planirana sredstva su sredstava iz izvora 4.3. (prihod za posebne namjene</w:t>
            </w:r>
            <w:r w:rsidR="00CA6642">
              <w:rPr>
                <w:rFonts w:cs="Calibri"/>
                <w:sz w:val="20"/>
                <w:szCs w:val="20"/>
                <w:lang w:eastAsia="hr-HR"/>
              </w:rPr>
              <w:t xml:space="preserve">) namijenjena </w:t>
            </w:r>
            <w:r w:rsidR="00B23C9B">
              <w:rPr>
                <w:rFonts w:cs="Calibri"/>
                <w:sz w:val="20"/>
                <w:szCs w:val="20"/>
                <w:lang w:eastAsia="hr-HR"/>
              </w:rPr>
              <w:t>za</w:t>
            </w:r>
            <w:r w:rsidR="00B23C9B" w:rsidRPr="00B23C9B">
              <w:rPr>
                <w:rFonts w:cs="Calibri"/>
                <w:sz w:val="20"/>
                <w:szCs w:val="20"/>
                <w:lang w:eastAsia="hr-HR"/>
              </w:rPr>
              <w:t xml:space="preserve"> pokrivanj</w:t>
            </w:r>
            <w:r w:rsidR="00B23C9B">
              <w:rPr>
                <w:rFonts w:cs="Calibri"/>
                <w:sz w:val="20"/>
                <w:szCs w:val="20"/>
                <w:lang w:eastAsia="hr-HR"/>
              </w:rPr>
              <w:t>e</w:t>
            </w:r>
            <w:r w:rsidR="00B23C9B" w:rsidRPr="00B23C9B">
              <w:rPr>
                <w:rFonts w:cs="Calibri"/>
                <w:sz w:val="20"/>
                <w:szCs w:val="20"/>
                <w:lang w:eastAsia="hr-HR"/>
              </w:rPr>
              <w:t xml:space="preserve"> materijalnih troškova u svrhu izrade V. izmjena i dopuna Prostornog plana Sisačko-moslavačke županije</w:t>
            </w:r>
          </w:p>
        </w:tc>
      </w:tr>
    </w:tbl>
    <w:p w14:paraId="4BAC4693" w14:textId="252FD05B" w:rsidR="00485E09" w:rsidRDefault="00E325E8" w:rsidP="00E325E8">
      <w:pPr>
        <w:spacing w:after="0"/>
        <w:rPr>
          <w:rFonts w:cs="Calibri"/>
        </w:rPr>
      </w:pPr>
      <w:r>
        <w:rPr>
          <w:rFonts w:cs="Calibri"/>
        </w:rPr>
        <w:t xml:space="preserve">Obrazloženje za Zavod za prostorno uređenje daje </w:t>
      </w:r>
      <w:r w:rsidR="00485E09">
        <w:rPr>
          <w:rFonts w:cs="Calibri"/>
        </w:rPr>
        <w:t>ravnatelj</w:t>
      </w:r>
      <w:r>
        <w:rPr>
          <w:rFonts w:cs="Calibri"/>
        </w:rPr>
        <w:t xml:space="preserve"> </w:t>
      </w:r>
      <w:r w:rsidR="00485E09">
        <w:rPr>
          <w:rFonts w:cs="Calibri"/>
        </w:rPr>
        <w:t xml:space="preserve"> Domagoj Orlić, dipl. ing. </w:t>
      </w:r>
      <w:proofErr w:type="spellStart"/>
      <w:r w:rsidR="00485E09">
        <w:rPr>
          <w:rFonts w:cs="Calibri"/>
        </w:rPr>
        <w:t>prom</w:t>
      </w:r>
      <w:proofErr w:type="spellEnd"/>
      <w:r w:rsidR="00485E09">
        <w:rPr>
          <w:rFonts w:cs="Calibri"/>
        </w:rPr>
        <w:t>.</w:t>
      </w:r>
    </w:p>
    <w:p w14:paraId="2B1C5D54" w14:textId="0E64BEAE" w:rsidR="00485E09" w:rsidRDefault="00485E09" w:rsidP="00485E09"/>
    <w:p w14:paraId="49F3D0E2" w14:textId="6F5E31CE" w:rsidR="002710E1" w:rsidRDefault="002710E1" w:rsidP="002710E1">
      <w:pPr>
        <w:ind w:firstLine="708"/>
      </w:pPr>
      <w:r>
        <w:t>S poštovanjem</w:t>
      </w:r>
    </w:p>
    <w:p w14:paraId="0BA9915E" w14:textId="3A58B6C6" w:rsidR="002710E1" w:rsidRDefault="002710E1" w:rsidP="00485E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Privremena pročelnica </w:t>
      </w:r>
    </w:p>
    <w:p w14:paraId="7868AF14" w14:textId="6EB6E31A" w:rsidR="002710E1" w:rsidRDefault="002710E1" w:rsidP="00485E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Blanka Bobetko Majstorović, dipl. ing. </w:t>
      </w:r>
      <w:proofErr w:type="spellStart"/>
      <w:r>
        <w:t>biol</w:t>
      </w:r>
      <w:proofErr w:type="spellEnd"/>
      <w:r>
        <w:t>.</w:t>
      </w:r>
    </w:p>
    <w:p w14:paraId="6992C88C" w14:textId="77777777" w:rsidR="00051D87" w:rsidRDefault="00051D87"/>
    <w:sectPr w:rsidR="00051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83490"/>
    <w:multiLevelType w:val="hybridMultilevel"/>
    <w:tmpl w:val="D1845774"/>
    <w:lvl w:ilvl="0" w:tplc="3A94C902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17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E09"/>
    <w:rsid w:val="00013C0C"/>
    <w:rsid w:val="00051D87"/>
    <w:rsid w:val="000A1C13"/>
    <w:rsid w:val="00174463"/>
    <w:rsid w:val="001A5CB5"/>
    <w:rsid w:val="002710E1"/>
    <w:rsid w:val="002B26C1"/>
    <w:rsid w:val="003224CD"/>
    <w:rsid w:val="003473AB"/>
    <w:rsid w:val="00362A48"/>
    <w:rsid w:val="003C5B4B"/>
    <w:rsid w:val="004703CB"/>
    <w:rsid w:val="00485E09"/>
    <w:rsid w:val="004B7F5C"/>
    <w:rsid w:val="005B52B5"/>
    <w:rsid w:val="005D2680"/>
    <w:rsid w:val="005F7E9F"/>
    <w:rsid w:val="0064426C"/>
    <w:rsid w:val="00880E11"/>
    <w:rsid w:val="009339CE"/>
    <w:rsid w:val="009C11A4"/>
    <w:rsid w:val="009F39F6"/>
    <w:rsid w:val="00A67207"/>
    <w:rsid w:val="00A72F71"/>
    <w:rsid w:val="00B23C9B"/>
    <w:rsid w:val="00CA6642"/>
    <w:rsid w:val="00D12546"/>
    <w:rsid w:val="00DB58E5"/>
    <w:rsid w:val="00E325E8"/>
    <w:rsid w:val="00F7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DD5B"/>
  <w15:docId w15:val="{7F6F9F9C-C5AF-4D67-BBFF-270473EE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E09"/>
    <w:pPr>
      <w:spacing w:line="252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254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67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942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Graditeljstvo Sisak5</dc:creator>
  <cp:lastModifiedBy>Graditeljstvo Sisak5</cp:lastModifiedBy>
  <cp:revision>8</cp:revision>
  <dcterms:created xsi:type="dcterms:W3CDTF">2022-07-06T13:25:00Z</dcterms:created>
  <dcterms:modified xsi:type="dcterms:W3CDTF">2022-07-07T12:42:00Z</dcterms:modified>
</cp:coreProperties>
</file>